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3DE0EE">
      <w:pPr>
        <w:jc w:val="both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bookmarkStart w:id="0" w:name="_GoBack"/>
      <w:bookmarkEnd w:id="0"/>
    </w:p>
    <w:p w14:paraId="607C99FE">
      <w:pPr>
        <w:jc w:val="both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检验项目：</w:t>
      </w:r>
    </w:p>
    <w:tbl>
      <w:tblPr>
        <w:tblStyle w:val="3"/>
        <w:tblW w:w="97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598"/>
        <w:gridCol w:w="1545"/>
        <w:gridCol w:w="975"/>
        <w:gridCol w:w="2055"/>
        <w:gridCol w:w="1905"/>
      </w:tblGrid>
      <w:tr w14:paraId="2461C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51" w:type="dxa"/>
            <w:vAlign w:val="center"/>
          </w:tcPr>
          <w:p w14:paraId="280BCC01">
            <w:pPr>
              <w:spacing w:line="240" w:lineRule="auto"/>
              <w:ind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</w:rPr>
              <w:t>检验项目</w:t>
            </w:r>
          </w:p>
        </w:tc>
        <w:tc>
          <w:tcPr>
            <w:tcW w:w="1598" w:type="dxa"/>
            <w:vAlign w:val="center"/>
          </w:tcPr>
          <w:p w14:paraId="7F644DF7">
            <w:pPr>
              <w:spacing w:line="240" w:lineRule="auto"/>
              <w:ind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</w:rPr>
              <w:t>检测方法</w:t>
            </w:r>
          </w:p>
        </w:tc>
        <w:tc>
          <w:tcPr>
            <w:tcW w:w="1545" w:type="dxa"/>
            <w:vAlign w:val="center"/>
          </w:tcPr>
          <w:p w14:paraId="4143F530">
            <w:pPr>
              <w:spacing w:line="240" w:lineRule="auto"/>
              <w:ind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  <w:lang w:val="en-US" w:eastAsia="zh-CN"/>
              </w:rPr>
              <w:t>标本要求</w:t>
            </w:r>
          </w:p>
        </w:tc>
        <w:tc>
          <w:tcPr>
            <w:tcW w:w="975" w:type="dxa"/>
            <w:vAlign w:val="center"/>
          </w:tcPr>
          <w:p w14:paraId="552C48C6">
            <w:pPr>
              <w:spacing w:line="240" w:lineRule="auto"/>
              <w:ind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</w:rPr>
              <w:t>报告时间</w:t>
            </w:r>
          </w:p>
        </w:tc>
        <w:tc>
          <w:tcPr>
            <w:tcW w:w="2055" w:type="dxa"/>
            <w:vAlign w:val="center"/>
          </w:tcPr>
          <w:p w14:paraId="4AD9653B">
            <w:pPr>
              <w:spacing w:line="240" w:lineRule="auto"/>
              <w:ind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</w:rPr>
              <w:t>检测意义</w:t>
            </w:r>
          </w:p>
        </w:tc>
        <w:tc>
          <w:tcPr>
            <w:tcW w:w="1905" w:type="dxa"/>
            <w:vAlign w:val="center"/>
          </w:tcPr>
          <w:p w14:paraId="28EF75FA">
            <w:pPr>
              <w:spacing w:line="240" w:lineRule="auto"/>
              <w:ind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  <w:lang w:val="en-US" w:eastAsia="zh-CN"/>
              </w:rPr>
              <w:t>患者收费价格</w:t>
            </w:r>
          </w:p>
        </w:tc>
      </w:tr>
      <w:tr w14:paraId="11DF9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</w:trPr>
        <w:tc>
          <w:tcPr>
            <w:tcW w:w="1651" w:type="dxa"/>
            <w:vAlign w:val="center"/>
          </w:tcPr>
          <w:p w14:paraId="1075E999">
            <w:pPr>
              <w:spacing w:line="240" w:lineRule="auto"/>
              <w:ind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</w:rPr>
              <w:t>特殊染色及酶组织化学染色</w:t>
            </w:r>
          </w:p>
        </w:tc>
        <w:tc>
          <w:tcPr>
            <w:tcW w:w="1598" w:type="dxa"/>
            <w:vAlign w:val="center"/>
          </w:tcPr>
          <w:p w14:paraId="4D285595">
            <w:pPr>
              <w:spacing w:line="240" w:lineRule="auto"/>
              <w:ind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  <w:lang w:val="en-US" w:eastAsia="zh-CN"/>
              </w:rPr>
              <w:t>组织或骨髓片</w:t>
            </w:r>
          </w:p>
        </w:tc>
        <w:tc>
          <w:tcPr>
            <w:tcW w:w="1545" w:type="dxa"/>
            <w:vAlign w:val="center"/>
          </w:tcPr>
          <w:p w14:paraId="53C310E1">
            <w:pPr>
              <w:spacing w:line="240" w:lineRule="auto"/>
              <w:ind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  <w:lang w:val="en-US" w:eastAsia="zh-CN"/>
              </w:rPr>
              <w:t>组织或骨髓片</w:t>
            </w:r>
          </w:p>
        </w:tc>
        <w:tc>
          <w:tcPr>
            <w:tcW w:w="975" w:type="dxa"/>
            <w:vAlign w:val="center"/>
          </w:tcPr>
          <w:p w14:paraId="5C525B32">
            <w:pPr>
              <w:spacing w:line="240" w:lineRule="auto"/>
              <w:ind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</w:rPr>
              <w:t>个工作日</w:t>
            </w:r>
          </w:p>
        </w:tc>
        <w:tc>
          <w:tcPr>
            <w:tcW w:w="2055" w:type="dxa"/>
            <w:vAlign w:val="center"/>
          </w:tcPr>
          <w:p w14:paraId="1B12ACB9">
            <w:pPr>
              <w:spacing w:line="240" w:lineRule="auto"/>
              <w:ind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  <w:lang w:val="en-US" w:eastAsia="zh-CN"/>
              </w:rPr>
              <w:t>造血系统疾病的辅助诊断</w:t>
            </w:r>
          </w:p>
        </w:tc>
        <w:tc>
          <w:tcPr>
            <w:tcW w:w="1905" w:type="dxa"/>
            <w:vAlign w:val="center"/>
          </w:tcPr>
          <w:p w14:paraId="13E89D86">
            <w:pPr>
              <w:spacing w:line="240" w:lineRule="auto"/>
              <w:ind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  <w:lang w:val="en-US" w:eastAsia="zh-CN"/>
              </w:rPr>
              <w:t>36.5元/项</w:t>
            </w:r>
          </w:p>
        </w:tc>
      </w:tr>
      <w:tr w14:paraId="1EDFC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651" w:type="dxa"/>
            <w:vAlign w:val="center"/>
          </w:tcPr>
          <w:p w14:paraId="1FA35874">
            <w:pPr>
              <w:spacing w:line="240" w:lineRule="auto"/>
              <w:ind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  <w:lang w:val="en-US" w:eastAsia="zh-CN"/>
              </w:rPr>
              <w:t>骨髓活检</w:t>
            </w:r>
          </w:p>
        </w:tc>
        <w:tc>
          <w:tcPr>
            <w:tcW w:w="1598" w:type="dxa"/>
            <w:vAlign w:val="center"/>
          </w:tcPr>
          <w:p w14:paraId="02540AE9">
            <w:pPr>
              <w:spacing w:line="240" w:lineRule="auto"/>
              <w:ind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  <w:lang w:val="en-US" w:eastAsia="zh-CN"/>
              </w:rPr>
              <w:t>组织</w:t>
            </w:r>
          </w:p>
        </w:tc>
        <w:tc>
          <w:tcPr>
            <w:tcW w:w="1545" w:type="dxa"/>
            <w:vAlign w:val="center"/>
          </w:tcPr>
          <w:p w14:paraId="57EAA589">
            <w:pPr>
              <w:spacing w:line="240" w:lineRule="auto"/>
              <w:ind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  <w:lang w:val="en-US" w:eastAsia="zh-CN"/>
              </w:rPr>
              <w:t>组织</w:t>
            </w:r>
          </w:p>
        </w:tc>
        <w:tc>
          <w:tcPr>
            <w:tcW w:w="975" w:type="dxa"/>
            <w:vAlign w:val="center"/>
          </w:tcPr>
          <w:p w14:paraId="720EEE2F">
            <w:pPr>
              <w:spacing w:line="240" w:lineRule="auto"/>
              <w:ind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</w:rPr>
              <w:t>个工作日</w:t>
            </w:r>
          </w:p>
        </w:tc>
        <w:tc>
          <w:tcPr>
            <w:tcW w:w="2055" w:type="dxa"/>
            <w:vAlign w:val="center"/>
          </w:tcPr>
          <w:p w14:paraId="77DD2599">
            <w:pPr>
              <w:spacing w:line="240" w:lineRule="auto"/>
              <w:ind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  <w:lang w:val="en-US" w:eastAsia="zh-CN"/>
              </w:rPr>
              <w:t>造血系统疾病的辅助诊断</w:t>
            </w:r>
          </w:p>
        </w:tc>
        <w:tc>
          <w:tcPr>
            <w:tcW w:w="1905" w:type="dxa"/>
            <w:vAlign w:val="center"/>
          </w:tcPr>
          <w:p w14:paraId="6E8C7D75">
            <w:pPr>
              <w:spacing w:line="240" w:lineRule="auto"/>
              <w:ind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  <w:lang w:val="en-US" w:eastAsia="zh-CN"/>
              </w:rPr>
              <w:t>85.5元/项</w:t>
            </w:r>
          </w:p>
        </w:tc>
      </w:tr>
    </w:tbl>
    <w:p w14:paraId="7A0E36E4"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